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7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ЗА СМЕШТАЈ СТАРИХ ЛИЦА СМЕДЕРЕВО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9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100359820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30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СТАРЦА ВУЈАДИНА БР.68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32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11300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3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СМЕДЕРЕВО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15.10.2021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2050/2021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8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ЗА СМЕШТАЈ СТАРИХ ЛИЦА СМЕДЕРЕВО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5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09/21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4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Реконструкција куће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23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2021/С Ф02-0031789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6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45454000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Реконструкција куће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10.833.333,33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групи понуђача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ИНВЕСТГРАДЊА ДОО ЛЕСКОВАЦ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103407679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Југ Богданова, бб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Лесковац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16000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Јастребац димњаци д.о.о.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105408284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9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С. Совјета, 7/24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20"/>
            <w:bookmarkEnd w:id="3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Смедерево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1"/>
            <w:bookmarkEnd w:id="3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2"/>
            <w:bookmarkEnd w:id="3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4" w:name="4"/>
      <w:bookmarkEnd w:id="34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10.827.390,50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5" w:name="5"/>
      <w:bookmarkEnd w:id="35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12.992.868,60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6" w:name="6"/>
      <w:bookmarkEnd w:id="36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Реконструкција куће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09/21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1685/21, 24.08.2021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10.833.333,33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45454000-Радови на реконструкцији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Јавна набавка радова - Реконструкција куће подразумева реконструкцију и пренамену из породичног стамбеног објекта у зграду за становање заједница у оквиру комплекса Дома за смештај старих лица Смедерево.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2021/С Ф02-0031789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06.09.2021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27.09.2021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Даринка Богдановић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Јелена Ђорђевић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Јасна Костић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Даниела Радовановић Тошевски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Марко Радаковић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Кристина Миљевић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Реконструкција куће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за извођење радова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27.09.2021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27.09.2021 12:01:25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ИНВЕСТГРАДЊА ДОО ЛЕСКОВАЦ, Југ Богданова, бб, 16000, Лесковац, Србија;Јастребац димњаци д.о.о., С. Совјета, 7/24, 11300, Смедерево,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1066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27.9.2021. 10:28:22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27.9.2021. 08:15:00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 је доставио оригинал банкарску гаранцију за озбиљност понуде иyдату од  Аддико банк број МД 21263-48343 на износ од 216.666,67 динара (износ је већи од 2% укупне вредности понуде без ПДВ-а) са свим клаузулама које су тражене конкурсном документацијом и са роком важења до 31.01.2022. године.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за извођење радова [дан]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ИНВЕСТГРАДЊА ДОО ЛЕСКОВАЦ;Јастребац димњаци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10827390.50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12992868.60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30% без обрачунатог пореза на додату вредност на име аванса; </w:t>
                                <w:br/>
                                <w:t>- привременим ситуацијама у року не дужем од 45 дана од дана пријема;</w:t>
                                <w:br/>
                                <w:t>- окончаном ситуацијом у року не дужем од 45 дана од дана пријема.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за извођење радова [дан]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ИНВЕСТГРАДЊА ДОО ЛЕСКОВАЦ;Јастребац димњаци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10827390.50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12992868.60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30% без обрачунатог пореза на додату вредност на име аванса; </w:t>
                                <w:br/>
                                <w:t>- привременим ситуацијама у року не дужем од 45 дана од дана пријема;</w:t>
                                <w:br/>
                                <w:t>- окончаном ситуацијом у року не дужем од 45 дана од дана пријема.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ИНВЕСТГРАДЊА ДОО ЛЕСКОВАЦ;Јастребац димњаци д.о.о.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10.827.390,50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12.992.868,60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ИНВЕСТГРАДЊА ДОО ЛЕСКОВАЦ;Јастребац димњаци д.о.о.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10.827.390,50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Група понуђача је доставила понуду која је у свему у складу са захтевима из конкурсне документације наручиоца, а вредност понуде не прелази процењену вредност јавне набавке.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члановима групе изабраног понуђача и деловима које ће извршавати чланови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3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26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Члан групе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Вредност или проценат дела који ће извршавати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Предмет или количина који ће извршавати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Јастребац димњаци д.о.о. и Инвестградња д.о.о.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ИНВЕСТГРАДЊА ДОО ЛЕСКОВАЦ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Грађевински и грађевинско -занатски радови</w:t>
                                <w:br/>
                                <w:t>Инсталације водовода и канализације</w:t>
                                <w:br/>
                                <w:t>Електро радови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Јастребац димњаци д.о.о.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Грађевински и грађевинско -занатски радови</w:t>
                                <w:br/>
                                <w:t>Инсталације водовода и канализације</w:t>
                                <w:br/>
                                <w:t>Електро радови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7" w:name="_Hlk32839505_0"/>
      <w:bookmarkStart w:id="38" w:name="1_0"/>
      <w:bookmarkEnd w:id="38"/>
      <w:r>
        <w:rPr>
          <w:rFonts w:ascii="Calibri" w:eastAsia="Calibri" w:hAnsi="Calibri" w:cs="Calibri"/>
          <w:w w:val="100"/>
        </w:rPr>
        <w:t>Група понуђача је доставила понуду која је у свему у складу са захтевима из конкурсне документације наручиоца, а вредност понуде не прелази процењену вредност јавне набавке.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7"/>
      <w:bookmarkStart w:id="39" w:name="2_0"/>
      <w:bookmarkEnd w:id="3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