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ДОМ ЗА СМЕШТАЈ СТАРИХ ЛИЦА СМЕДЕРЕВО</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ПИБ:</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100359820</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СТАРЦА ВУЈАДИНА БР.68</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11300</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СМЕДЕРЕВО</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8"/>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07.09.2021</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1782/2021</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ОДЛУКА О ДОДЕЛИ УГОВОРА</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ДОМ ЗА СМЕШТАЈ СТАРИХ ЛИЦА СМЕДЕРЕВО</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05/2021</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Ампулирани лекови и санитетски материјал</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2021/С Ф02-0028348</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33600000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Ампулирани лекови и санитетски материјал</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1.583.333,00</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Уговор</w:t>
      </w:r>
      <w:r w:rsidRPr="001F55F6">
        <w:rPr>
          <w:rFonts w:cstheme="minorHAnsi"/>
          <w:sz w:val="20"/>
          <w:szCs w:val="20"/>
        </w:rPr>
        <w:t xml:space="preserve"> се </w:t>
      </w:r>
      <w:r w:rsidRPr="001F55F6">
        <w:rPr>
          <w:rFonts w:cstheme="minorHAnsi"/>
          <w:sz w:val="20"/>
          <w:szCs w:val="20"/>
        </w:rPr>
        <w:t>додељује</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ВОДИЧ ДОО БЕОГРАД</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100280025</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ДУШАНА ВУКАСОВИЋА, 29</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Београд (Нови Београд)</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11073</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(без ПДВ):</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1.583.260,36</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w:t>
      </w:r>
      <w:r w:rsidRPr="001F55F6">
        <w:rPr>
          <w:rFonts w:cstheme="minorHAnsi"/>
          <w:bCs/>
          <w:sz w:val="20"/>
          <w:szCs w:val="20"/>
        </w:rPr>
        <w:t>са</w:t>
      </w:r>
      <w:r w:rsidRPr="001F55F6">
        <w:rPr>
          <w:rFonts w:cstheme="minorHAnsi"/>
          <w:bCs/>
          <w:sz w:val="20"/>
          <w:szCs w:val="20"/>
        </w:rPr>
        <w:t xml:space="preserve"> ПДВ):</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1.830.737,40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Валута:</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Ампулирани лекови и санитетски материјал</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05/2021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1508/2021, 05.08.2021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1.583.333,00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33600000-Фармацеутски производи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Ампулирани лекови и санитетски материјал</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2021/С Ф02-0028348</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07.08.2021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16.08.2021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Марко Радаковић - члан</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Даринка Богдановић - члан</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Зора Стојанова - члан</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Ампулирани лекови и санитетски материјал</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Рок испоруке </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16.08.2021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16.08.2021 12:03:54</w:t>
                  </w:r>
                </w:p>
              </w:tc>
            </w:tr>
            <w:tr>
              <w:tblPrEx>
                <w:tblInd w:w="39" w:type="dxa"/>
                <w:tblCellMar>
                  <w:left w:w="0" w:type="dxa"/>
                  <w:right w:w="0" w:type="dxa"/>
                </w:tblCellMar>
                <w:tblLook w:val="0000"/>
              </w:tblPrEx>
              <w:trPr>
                <w:trHeight w:val="140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ВОДИЧ ДОО БЕОГРАД, ДУШАНА ВУКАСОВИЋА, 29, 11073, Београд (Нови Београд),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106</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10.8.2021. 13:33:26</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АУ ГаленПхарм, Београдска 8, 11080, Земун,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028/2021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16.8.2021. 10:01:21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47"/>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АУ ГаленПхарм</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1574787.16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1804168.17</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ВОДИЧ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1583260.36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1830737.40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уплатом на текући рачун понуђача у року од 45 дана од дана испоруке-фактурисања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594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53"/>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АУ ГаленПхарм</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1574787.16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1804168.17</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ВОДИЧ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1583260.36</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1830737.40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уплатом на текући рачун понуђача у року од 45 дана од дана испоруке-фактурисања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595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204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ВОДИЧ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1.583.260,36</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1.830.737,40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АУ ГаленПхарм</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1.574.787,16</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1.804.168,17</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 није доставио доказ који је наручилац тражио у делу КРИТЕРИЈУМИ ЗА КВАЛИТАТИВНИ ИЗБОР ПРИВРЕДНОГ СУБЈЕКТА и упутство како се доказује испуњеност тих критеријума, под тачком  2. Обављање професионалне делатности, 2.1. Овлашћење, дозвола или чланство. Наиме, наручилац је тражио да "Привредни субјект мора да поседује важеће Решење Министарства здравља да испуњава услове за обављање промета добрима која су предмет јавне набавке.", што су понуђачи доказивали копијом важећег Решења Министарства здравља да испуњава услове за обављање промета добрима која су предмет јавне набавке. Понуђач није доставио наведени доказ у својој понуди. Наручилац је дана 24.08.2021. године захтевао од понуђача у складу са чланом 119. став 1. ЗЈН, да  у року од 5 радних дана, путем Портала ЈН, достави све доказе о испуњености критеријума за квалитативни избор привредног субјекта, у неовереним копијама, као и да уколико у остављеном року путем Портала ЈН не достави захтеване доказе,  упозорен је да ће понуда  бити одбијена на основу члана 119. став 6. ЗЈН. Понуђач није доставио доказе у траженом року, односно копију важећег Решења Министарства здравља да испуњава услове за обављање промета добрима која су предмет јавне набавке, чиме је његова понуда неприхватљива.</w:t>
                                <w:br/>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 није доставио тражене доказе о испуњености критеријума за квалитативни избор привредног субјекта у остављеном року</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ВОДИЧ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1.583.260,36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Понуда је поднета у свему у складу са захтевима наручиоца и као таква је прихватљива.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подизвођачима понуђача који се изабире и деловима које ће извршавати</w:t>
                  </w:r>
                </w:p>
              </w:tc>
            </w:tr>
            <w:tr>
              <w:tblPrEx>
                <w:tblInd w:w="39" w:type="dxa"/>
                <w:tblCellMar>
                  <w:left w:w="0" w:type="dxa"/>
                  <w:right w:w="0" w:type="dxa"/>
                </w:tblCellMar>
                <w:tblLook w:val="0000"/>
              </w:tblPrEx>
              <w:trPr>
                <w:trHeight w:val="1082"/>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84"/>
                    <w:gridCol w:w="26"/>
                  </w:tblGrid>
                  <w:tr>
                    <w:tblPrEx>
                      <w:tblCellMar>
                        <w:left w:w="0" w:type="dxa"/>
                        <w:right w:w="0" w:type="dxa"/>
                      </w:tblCellMar>
                      <w:tblLook w:val="0000"/>
                    </w:tblPrEx>
                    <w:trPr>
                      <w:trHeight w:val="28"/>
                    </w:trPr>
                    <w:tc>
                      <w:tcPr>
                        <w:tcW w:w="15384" w:type="dxa"/>
                        <w:shd w:val="clear" w:color="auto" w:fill="auto"/>
                      </w:tcPr>
                      <w:p>
                        <w:pPr>
                          <w:spacing w:before="0" w:after="0"/>
                          <w:rPr>
                            <w:rFonts w:ascii="Times New Roman" w:eastAsia="Times New Roman" w:hAnsi="Times New Roman"/>
                            <w:sz w:val="2"/>
                            <w:szCs w:val="20"/>
                          </w:rPr>
                        </w:pPr>
                      </w:p>
                    </w:tc>
                    <w:tc>
                      <w:tcPr>
                        <w:tcW w:w="26"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84" w:type="dxa"/>
                        <w:shd w:val="clear" w:color="auto" w:fill="auto"/>
                      </w:tcPr>
                      <w:tbl>
                        <w:tblPr>
                          <w:tblStyle w:val="TableNormal"/>
                          <w:tblInd w:w="39" w:type="dxa"/>
                          <w:tblCellMar>
                            <w:left w:w="0" w:type="dxa"/>
                            <w:right w:w="0" w:type="dxa"/>
                          </w:tblCellMar>
                          <w:tblLook w:val="0000"/>
                        </w:tblPr>
                        <w:tblGrid>
                          <w:gridCol w:w="4194"/>
                          <w:gridCol w:w="3887"/>
                          <w:gridCol w:w="3864"/>
                          <w:gridCol w:w="3437"/>
                        </w:tblGrid>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388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Подизвођач</w:t>
                              </w:r>
                            </w:p>
                          </w:tc>
                          <w:tc>
                            <w:tcPr>
                              <w:tcW w:w="386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Вредност или проценат дела који ће извршавати </w:t>
                              </w:r>
                            </w:p>
                          </w:tc>
                          <w:tc>
                            <w:tcPr>
                              <w:tcW w:w="343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Предмет или количина који ће извршавати</w:t>
                                <w:br/>
                              </w:r>
                            </w:p>
                          </w:tc>
                        </w:tr>
                        <w:tr>
                          <w:tblPrEx>
                            <w:tblInd w:w="39" w:type="dxa"/>
                            <w:tblCellMar>
                              <w:left w:w="0" w:type="dxa"/>
                              <w:right w:w="0" w:type="dxa"/>
                            </w:tblCellMar>
                            <w:tblLook w:val="0000"/>
                          </w:tblPrEx>
                          <w:trPr>
                            <w:trHeight w:val="262"/>
                          </w:trPr>
                          <w:tc>
                            <w:tcPr>
                              <w:tcW w:w="15382"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ВОДИЧ ДОО БЕОГРАД</w:t>
                              </w: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АПОТЕКА ВОДИЧ АПОТЕКАРСКА УСТАНОВА</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0,04%</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СТАВКЕ: 1.,  3., 4., 9., 37., 45., 46., 48., 72. и 91. из обрасца структуре цене</w:t>
                              </w:r>
                            </w:p>
                          </w:tc>
                        </w:tr>
                      </w:tbl>
                      <w:p>
                        <w:pPr>
                          <w:spacing w:before="0" w:after="0"/>
                          <w:rPr>
                            <w:rFonts w:ascii="Times New Roman" w:eastAsia="Times New Roman" w:hAnsi="Times New Roman"/>
                            <w:sz w:val="20"/>
                            <w:szCs w:val="20"/>
                          </w:rPr>
                        </w:pPr>
                      </w:p>
                    </w:tc>
                    <w:tc>
                      <w:tcPr>
                        <w:tcW w:w="26"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3"/>
                    </w:trPr>
                    <w:tc>
                      <w:tcPr>
                        <w:tcW w:w="15384" w:type="dxa"/>
                        <w:shd w:val="clear" w:color="auto" w:fill="auto"/>
                      </w:tcPr>
                      <w:p>
                        <w:pPr>
                          <w:spacing w:before="0" w:after="0"/>
                          <w:rPr>
                            <w:rFonts w:ascii="Times New Roman" w:eastAsia="Times New Roman" w:hAnsi="Times New Roman"/>
                            <w:sz w:val="2"/>
                            <w:szCs w:val="20"/>
                          </w:rPr>
                        </w:pPr>
                      </w:p>
                    </w:tc>
                    <w:tc>
                      <w:tcPr>
                        <w:tcW w:w="26"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w w:val="100"/>
        </w:rPr>
      </w:pPr>
      <w:bookmarkStart w:id="31" w:name="_Hlk32839505_0"/>
      <w:bookmarkStart w:id="32" w:name="1_0"/>
      <w:bookmarkEnd w:id="32"/>
      <w:r>
        <w:rPr>
          <w:rFonts w:ascii="Calibri" w:eastAsia="Calibri" w:hAnsi="Calibri" w:cs="Calibri"/>
          <w:w w:val="100"/>
        </w:rPr>
        <w:t>Понуда је поднета у свему у складу са захтевима наручиоца и као таква је прихватљива.</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P="008C5725" w14:paraId="57D8177E" w14:textId="3101E2A4">
      <w:pPr>
        <w:spacing w:before="120" w:after="120"/>
        <w:rPr>
          <w:rFonts w:ascii="Calibri" w:eastAsia="Calibri" w:hAnsi="Calibri" w:cs="Calibri"/>
          <w:w w:val="100"/>
          <w:sz w:val="20"/>
          <w:szCs w:val="20"/>
          <w:lang w:val="sr-Latn-BA"/>
        </w:rPr>
      </w:pPr>
      <w:bookmarkEnd w:id="31"/>
      <w:bookmarkStart w:id="33" w:name="2_0"/>
      <w:bookmarkEnd w:id="33"/>
      <w:r w:rsidRPr="001F55F6">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rPr>
      <w:w w:val="85"/>
    </w:r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